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74" w:rsidRDefault="00092E74" w:rsidP="00092E74">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УКАЗ</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ПРЕЗИДЕНТА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О Национальном плане противодействия коррупции </w:t>
      </w:r>
      <w:r>
        <w:rPr>
          <w:b/>
          <w:bCs/>
          <w:color w:val="333333"/>
          <w:sz w:val="25"/>
          <w:szCs w:val="25"/>
        </w:rPr>
        <w:br/>
        <w:t>на 2012-2013 годы и внесении изменений в некоторые акты </w:t>
      </w:r>
      <w:r>
        <w:rPr>
          <w:b/>
          <w:bCs/>
          <w:color w:val="333333"/>
          <w:sz w:val="25"/>
          <w:szCs w:val="25"/>
        </w:rPr>
        <w:br/>
        <w:t>Президента Российской Федерации по вопросам </w:t>
      </w:r>
      <w:r>
        <w:rPr>
          <w:b/>
          <w:bCs/>
          <w:color w:val="333333"/>
          <w:sz w:val="25"/>
          <w:szCs w:val="25"/>
        </w:rPr>
        <w:br/>
        <w:t>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c"/>
        <w:shd w:val="clear" w:color="auto" w:fill="FFFFFF"/>
        <w:spacing w:before="82" w:beforeAutospacing="0" w:after="82" w:afterAutospacing="0"/>
        <w:ind w:left="611" w:right="611"/>
        <w:jc w:val="center"/>
        <w:rPr>
          <w:color w:val="333333"/>
          <w:sz w:val="25"/>
          <w:szCs w:val="25"/>
        </w:rPr>
      </w:pPr>
      <w:r>
        <w:rPr>
          <w:rStyle w:val="edx"/>
          <w:i/>
          <w:iCs/>
          <w:color w:val="1111EE"/>
          <w:sz w:val="25"/>
          <w:szCs w:val="25"/>
          <w:shd w:val="clear" w:color="auto" w:fill="F0F0F0"/>
        </w:rPr>
        <w:t>(В редакции Указа Президента Российской Федерации</w:t>
      </w:r>
      <w:r>
        <w:rPr>
          <w:i/>
          <w:iCs/>
          <w:color w:val="1111EE"/>
          <w:sz w:val="25"/>
          <w:szCs w:val="25"/>
          <w:shd w:val="clear" w:color="auto" w:fill="F0F0F0"/>
        </w:rPr>
        <w:br/>
      </w:r>
      <w:r>
        <w:rPr>
          <w:rStyle w:val="edx"/>
          <w:i/>
          <w:iCs/>
          <w:color w:val="1111EE"/>
          <w:sz w:val="25"/>
          <w:szCs w:val="25"/>
          <w:shd w:val="clear" w:color="auto" w:fill="F0F0F0"/>
        </w:rPr>
        <w:t> </w:t>
      </w:r>
      <w:hyperlink r:id="rId8" w:tgtFrame="contents" w:history="1">
        <w:r>
          <w:rPr>
            <w:rStyle w:val="a9"/>
            <w:color w:val="1C1CD6"/>
            <w:sz w:val="25"/>
            <w:szCs w:val="25"/>
            <w:shd w:val="clear" w:color="auto" w:fill="F0F0F0"/>
          </w:rPr>
          <w:t>от 19.03.2013 № 211</w:t>
        </w:r>
      </w:hyperlink>
      <w:r>
        <w:rPr>
          <w:rStyle w:val="edx"/>
          <w:i/>
          <w:iCs/>
          <w:color w:val="1111EE"/>
          <w:sz w:val="25"/>
          <w:szCs w:val="25"/>
          <w:shd w:val="clear" w:color="auto" w:fill="F0F0F0"/>
        </w:rPr>
        <w:t>)</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соответствии с пунктом 1 части 1 статьи 5 Федерального закона </w:t>
      </w:r>
      <w:hyperlink r:id="rId9" w:tgtFrame="contents" w:history="1">
        <w:r>
          <w:rPr>
            <w:rStyle w:val="cmd"/>
            <w:color w:val="1111EE"/>
            <w:sz w:val="25"/>
            <w:szCs w:val="25"/>
            <w:u w:val="single"/>
          </w:rPr>
          <w:t>от 25 декабря 2008 г. № 273-ФЗ</w:t>
        </w:r>
      </w:hyperlink>
      <w:r>
        <w:rPr>
          <w:color w:val="333333"/>
          <w:sz w:val="25"/>
          <w:szCs w:val="25"/>
        </w:rPr>
        <w:t> "О противодействии коррупции" постановляю:</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 Утвердить прилагаемый Национальный план противодействия коррупции на 2012 - 2013 годы.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2. Президиуму Совета при Президенте Российской Федерации по противодействию коррупции на основании материалов, представляемых </w:t>
      </w:r>
      <w:r>
        <w:rPr>
          <w:rStyle w:val="edx"/>
          <w:color w:val="1111EE"/>
          <w:sz w:val="25"/>
          <w:szCs w:val="25"/>
          <w:shd w:val="clear" w:color="auto" w:fill="F0F0F0"/>
        </w:rPr>
        <w:t>Министерством труда и социальной защиты Российской Федерации</w:t>
      </w:r>
      <w:r>
        <w:rPr>
          <w:color w:val="333333"/>
          <w:sz w:val="25"/>
          <w:szCs w:val="25"/>
        </w:rPr>
        <w:t>, давать разъяснения по применению актов Президента Российской Федерации по антикоррупционной тематике.</w:t>
      </w:r>
      <w:r>
        <w:rPr>
          <w:rStyle w:val="mark"/>
          <w:i/>
          <w:iCs/>
          <w:color w:val="1111EE"/>
          <w:sz w:val="25"/>
          <w:szCs w:val="25"/>
        </w:rPr>
        <w:t> </w:t>
      </w:r>
      <w:r>
        <w:rPr>
          <w:rStyle w:val="edx"/>
          <w:i/>
          <w:iCs/>
          <w:color w:val="1111EE"/>
          <w:sz w:val="25"/>
          <w:szCs w:val="25"/>
          <w:shd w:val="clear" w:color="auto" w:fill="F0F0F0"/>
        </w:rPr>
        <w:t>(В редакции Указа Президента Российской Федерации </w:t>
      </w:r>
      <w:hyperlink r:id="rId10" w:tgtFrame="contents" w:history="1">
        <w:r>
          <w:rPr>
            <w:rStyle w:val="a9"/>
            <w:color w:val="1C1CD6"/>
            <w:sz w:val="25"/>
            <w:szCs w:val="25"/>
            <w:shd w:val="clear" w:color="auto" w:fill="F0F0F0"/>
          </w:rPr>
          <w:t>от 19.03.2013 № 211</w:t>
        </w:r>
      </w:hyperlink>
      <w:r>
        <w:rPr>
          <w:rStyle w:val="edx"/>
          <w:i/>
          <w:iCs/>
          <w:color w:val="1111EE"/>
          <w:sz w:val="25"/>
          <w:szCs w:val="25"/>
          <w:shd w:val="clear" w:color="auto" w:fill="F0F0F0"/>
        </w:rPr>
        <w:t>)</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3. Руководителям федеральных органов исполнительной власти, иных государственных органов: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руководствуясь Национальной стратегией противодействия коррупции, утвержденной Указом Президента Российской Федерации </w:t>
      </w:r>
      <w:hyperlink r:id="rId11" w:tgtFrame="contents" w:history="1">
        <w:r>
          <w:rPr>
            <w:rStyle w:val="cmd"/>
            <w:color w:val="1111EE"/>
            <w:sz w:val="25"/>
            <w:szCs w:val="25"/>
            <w:u w:val="single"/>
          </w:rPr>
          <w:t>от 13 апреля 2010 г. № 460</w:t>
        </w:r>
      </w:hyperlink>
      <w:r>
        <w:rPr>
          <w:color w:val="333333"/>
          <w:sz w:val="25"/>
          <w:szCs w:val="25"/>
        </w:rPr>
        <w:t>, и Национальным планом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4. Рекомендовать: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Конвенцией по борьбе с подкупом иностранных должностных лиц при осуществлении международных коммерческих сделок от 21 ноября 1997 г., Конвенцией об уголовной ответственности за коррупцию от 27 января 1999 г. и Конвенцией ООН против коррупции от 31 октября 2003 г., разъяснения судам по вопросам применения: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уголовного законодательства Российской Федерации в части, касающейся коррупционных преступлений;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законодательства Российской Федерации об административной ответственности юридических лиц за коррупционные правонарушения;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б) органам государственной власти субъектов Российской Федерации и органам местного самоуправления: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активизировать деятельность советов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усилить работу подразделений кадровых служб указанных органов по профилактике коррупционных и иных правонарушений;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руководствуясь Национальной стратегией противодействия коррупции, утвержденной Указом Президента Российской Федерации </w:t>
      </w:r>
      <w:hyperlink r:id="rId12" w:tgtFrame="contents" w:history="1">
        <w:r>
          <w:rPr>
            <w:rStyle w:val="cmd"/>
            <w:color w:val="1111EE"/>
            <w:sz w:val="25"/>
            <w:szCs w:val="25"/>
            <w:u w:val="single"/>
          </w:rPr>
          <w:t>от 13 апреля 2010 г. № 460</w:t>
        </w:r>
      </w:hyperlink>
      <w:r>
        <w:rPr>
          <w:color w:val="333333"/>
          <w:sz w:val="25"/>
          <w:szCs w:val="25"/>
        </w:rPr>
        <w:t>, и Национальным планом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продолжить работу по формированию в обществе нетерпимого отношения к коррупционному поведению.</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6. Внести в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w:t>
      </w:r>
      <w:hyperlink r:id="rId13" w:tgtFrame="contents" w:history="1">
        <w:r>
          <w:rPr>
            <w:rStyle w:val="cmd"/>
            <w:color w:val="1111EE"/>
            <w:sz w:val="25"/>
            <w:szCs w:val="25"/>
            <w:u w:val="single"/>
          </w:rPr>
          <w:t>от 18 мая 2009 г. № 558</w:t>
        </w:r>
      </w:hyperlink>
      <w:r>
        <w:rPr>
          <w:color w:val="333333"/>
          <w:sz w:val="25"/>
          <w:szCs w:val="25"/>
        </w:rPr>
        <w:t>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 21, ст. 2543; 2010, № 3, ст. 274), изменение, изложив абзац второй пункта 10 в следующей редакции: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7.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14" w:tgtFrame="contents" w:history="1">
        <w:r>
          <w:rPr>
            <w:rStyle w:val="cmd"/>
            <w:color w:val="1111EE"/>
            <w:sz w:val="25"/>
            <w:szCs w:val="25"/>
            <w:u w:val="single"/>
          </w:rPr>
          <w:t>от 18 мая 2009 г. № 559</w:t>
        </w:r>
      </w:hyperlink>
      <w:r>
        <w:rPr>
          <w:color w:val="333333"/>
          <w:sz w:val="25"/>
          <w:szCs w:val="25"/>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w:t>
      </w:r>
      <w:r>
        <w:rPr>
          <w:color w:val="333333"/>
          <w:sz w:val="25"/>
          <w:szCs w:val="25"/>
        </w:rPr>
        <w:lastRenderedPageBreak/>
        <w:t>№ 21, ст. 2544; 2010, № 3, ст. 274), изменение, изложив абзац второй пункта 8 в следующей редакции: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8. Внести в Указ Президента Российской Федерации </w:t>
      </w:r>
      <w:hyperlink r:id="rId15" w:tgtFrame="contents" w:history="1">
        <w:r>
          <w:rPr>
            <w:rStyle w:val="cmd"/>
            <w:color w:val="1111EE"/>
            <w:sz w:val="25"/>
            <w:szCs w:val="25"/>
            <w:u w:val="single"/>
          </w:rPr>
          <w:t>от 21 сентября 2009 г. № 1065</w:t>
        </w:r>
      </w:hyperlink>
      <w:r>
        <w:rPr>
          <w:color w:val="333333"/>
          <w:sz w:val="25"/>
          <w:szCs w:val="25"/>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в абзаце втором пункта 6 Указа слова "пунктом 7 части второй статьи 7" заменить словами "частью третьей статьи 7";</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в Положении: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абзаце первом пункта 4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абзаце первом пункта 6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9 признать утратившим силу;</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пункте 10:</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абзаце первом слова "предусмотренной подпунктами "б" и "в" пункта 1" заменить словами "предусмотренной пунктом 1";</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"а</w:t>
      </w:r>
      <w:r>
        <w:rPr>
          <w:rStyle w:val="w9"/>
          <w:color w:val="333333"/>
          <w:sz w:val="15"/>
          <w:szCs w:val="15"/>
        </w:rPr>
        <w:t>1</w:t>
      </w:r>
      <w:r>
        <w:rPr>
          <w:color w:val="333333"/>
          <w:sz w:val="25"/>
          <w:szCs w:val="25"/>
        </w:rPr>
        <w:t>" следующего содержания: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w:t>
      </w:r>
      <w:r>
        <w:rPr>
          <w:rStyle w:val="w9"/>
          <w:color w:val="333333"/>
          <w:sz w:val="15"/>
          <w:szCs w:val="15"/>
        </w:rPr>
        <w:t>1</w:t>
      </w:r>
      <w:r>
        <w:rPr>
          <w:color w:val="333333"/>
          <w:sz w:val="25"/>
          <w:szCs w:val="25"/>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"г" следующего содержания: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общероссийскими средствами массовой информации.";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подпункте "б" пункта 13 слова "пунктом 7 части второй статьи 7" заменить словами "частью третьей статьи 7";</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пункте 15:</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подпункт "б" после слов "государственным служащим" дополнить словами "сведения о доходах, об имуществе и обязательствах имущественного характера 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подпункт "в" после слов "представленным им" дополнить словами "сведениям о доходах, об имуществе и обязательствах имущественного характера 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"е" следующего содержания: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пункте 17 слова "пункт 7 части второй статьи 7 и часть девятую статьи 8" заменить словами "соответствующие положения";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28 изложить в следующей редакции: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 назначении гражданина на должность федеральной государственной службы;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об отказе гражданину в назначении на должность федеральной государственной службы;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об отсутствии оснований для применения к государственному служащему мер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о применении к государственному служащему мер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31 изложить в следующей редакции: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назначить гражданина на должность федеральной государственной службы;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отказать гражданину в назначении на должность федеральной государственной службы;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применить к государственному служащему меры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9. Внести в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w:t>
      </w:r>
      <w:hyperlink r:id="rId16" w:tgtFrame="contents" w:history="1">
        <w:r>
          <w:rPr>
            <w:rStyle w:val="cmd"/>
            <w:color w:val="1111EE"/>
            <w:sz w:val="25"/>
            <w:szCs w:val="25"/>
            <w:u w:val="single"/>
          </w:rPr>
          <w:t>от 21 сентября 2009 г. № 1066</w:t>
        </w:r>
      </w:hyperlink>
      <w:r>
        <w:rPr>
          <w:color w:val="333333"/>
          <w:sz w:val="25"/>
          <w:szCs w:val="25"/>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следующие изменения: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а) в подпункте "а" пункта 1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в абзаце первом пункта 2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пункт 3 признать утратившим силу;</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в пункте 4:</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абзаце первом слова "предусмотренной подпунктами "б" и "в" пункта 1" заменить словами "предусмотренной пунктом 1";</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"а</w:t>
      </w:r>
      <w:r>
        <w:rPr>
          <w:rStyle w:val="w9"/>
          <w:color w:val="333333"/>
          <w:sz w:val="15"/>
          <w:szCs w:val="15"/>
        </w:rPr>
        <w:t>1</w:t>
      </w:r>
      <w:r>
        <w:rPr>
          <w:color w:val="333333"/>
          <w:sz w:val="25"/>
          <w:szCs w:val="25"/>
        </w:rPr>
        <w:t>" следующего содержания: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w:t>
      </w:r>
      <w:r>
        <w:rPr>
          <w:rStyle w:val="w9"/>
          <w:color w:val="333333"/>
          <w:sz w:val="15"/>
          <w:szCs w:val="15"/>
        </w:rPr>
        <w:t>1</w:t>
      </w:r>
      <w:r>
        <w:rPr>
          <w:color w:val="333333"/>
          <w:sz w:val="25"/>
          <w:szCs w:val="25"/>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"г" следующего содержания: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общероссийскими средствами массовой информации.";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 в пункте 7:</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подпункт "б"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подпункт "в" после слов "представленным им" дополнить словами "сведениям о доходах, об имуществе и обязательствах имущественного характера 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дополнить подпунктом "е" следующего содержания: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е) пункт 17 изложить в следующей редакции: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 назначении (представлении к назначению) гражданина на государственную должность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об отказе гражданину в назначении (представлении к назначению) на государственную должность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о применении к лицу, замещающему государственную должность Российской Федерации, мер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д) о представлении материалов проверки в президиум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ж) пункт 20 изложить в следующей редакции: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назначить (представить к назначению) гражданина на государственную должность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отказать гражданину в назначении (представлении к назначению) на государственную должность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применить к лицу, замещающему государственную должность Российской Федерации, меры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представить материалы проверки в президиум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10. Признать утратившими силу:</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Национальный план противодействия коррупции, утвержденный Президентом Российской Федерации 31 июля 2008 г. № Пр-1568 (Российская газета, 2008, 5 августа);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2 Указа Президента Российской Федерации </w:t>
      </w:r>
      <w:hyperlink r:id="rId17" w:tgtFrame="contents" w:history="1">
        <w:r>
          <w:rPr>
            <w:rStyle w:val="cmd"/>
            <w:color w:val="1111EE"/>
            <w:sz w:val="25"/>
            <w:szCs w:val="25"/>
            <w:u w:val="single"/>
          </w:rPr>
          <w:t>от 13 апреля 2010 г. № 460</w:t>
        </w:r>
      </w:hyperlink>
      <w:r>
        <w:rPr>
          <w:color w:val="333333"/>
          <w:sz w:val="25"/>
          <w:szCs w:val="25"/>
        </w:rPr>
        <w:t>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 16, ст. 1875);</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подпункт "а" пункта 5 в части, касающейся изложения в новой редакции пункта 9, и подпункт "а" пункта 6 в части, касающейся изложения в новой редакции пункта 3, Указа Президента Российской Федерации </w:t>
      </w:r>
      <w:hyperlink r:id="rId18" w:tgtFrame="contents" w:history="1">
        <w:r>
          <w:rPr>
            <w:rStyle w:val="cmd"/>
            <w:color w:val="1111EE"/>
            <w:sz w:val="25"/>
            <w:szCs w:val="25"/>
            <w:u w:val="single"/>
          </w:rPr>
          <w:t>от 1 июля 2010 г. № 821</w:t>
        </w:r>
      </w:hyperlink>
      <w:r>
        <w:rPr>
          <w:color w:val="333333"/>
          <w:sz w:val="25"/>
          <w:szCs w:val="25"/>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28 приложения к Указу Президента Российской Федерации </w:t>
      </w:r>
      <w:hyperlink r:id="rId19" w:tgtFrame="contents" w:history="1">
        <w:r>
          <w:rPr>
            <w:rStyle w:val="cmd"/>
            <w:color w:val="1111EE"/>
            <w:sz w:val="25"/>
            <w:szCs w:val="25"/>
            <w:u w:val="single"/>
          </w:rPr>
          <w:t>от 14 января 2011 г. № 38</w:t>
        </w:r>
      </w:hyperlink>
      <w:r>
        <w:rPr>
          <w:color w:val="333333"/>
          <w:sz w:val="25"/>
          <w:szCs w:val="25"/>
        </w:rPr>
        <w:t> "Вопросы деятельности Следственного комитета Российской Федерации" (Собрание законодательства Российской Федерации, 2011, № 4, ст. 572).</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i"/>
        <w:shd w:val="clear" w:color="auto" w:fill="FFFFFF"/>
        <w:spacing w:before="82" w:beforeAutospacing="0" w:after="82" w:afterAutospacing="0"/>
        <w:ind w:left="611"/>
        <w:rPr>
          <w:color w:val="333333"/>
          <w:sz w:val="25"/>
          <w:szCs w:val="25"/>
        </w:rPr>
      </w:pPr>
      <w:r>
        <w:rPr>
          <w:color w:val="333333"/>
          <w:sz w:val="25"/>
          <w:szCs w:val="25"/>
        </w:rPr>
        <w:t>Президент Российской Федерации                               Д.Медведев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Москва, Кремль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13 марта 2012 года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297</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s"/>
        <w:shd w:val="clear" w:color="auto" w:fill="FFFFFF"/>
        <w:spacing w:before="82" w:beforeAutospacing="0" w:after="82" w:afterAutospacing="0"/>
        <w:ind w:left="4619"/>
        <w:jc w:val="center"/>
        <w:rPr>
          <w:color w:val="333333"/>
          <w:sz w:val="25"/>
          <w:szCs w:val="25"/>
        </w:rPr>
      </w:pPr>
      <w:r>
        <w:rPr>
          <w:color w:val="333333"/>
          <w:sz w:val="25"/>
          <w:szCs w:val="25"/>
        </w:rPr>
        <w:t>УТВЕРЖДЕН</w:t>
      </w:r>
      <w:r>
        <w:rPr>
          <w:color w:val="333333"/>
          <w:sz w:val="25"/>
          <w:szCs w:val="25"/>
        </w:rPr>
        <w:br/>
        <w:t>Указом Президента</w:t>
      </w:r>
      <w:r>
        <w:rPr>
          <w:color w:val="333333"/>
          <w:sz w:val="25"/>
          <w:szCs w:val="25"/>
        </w:rPr>
        <w:br/>
      </w:r>
      <w:r>
        <w:rPr>
          <w:color w:val="333333"/>
          <w:sz w:val="25"/>
          <w:szCs w:val="25"/>
        </w:rPr>
        <w:lastRenderedPageBreak/>
        <w:t>Российской Федерации</w:t>
      </w:r>
      <w:r>
        <w:rPr>
          <w:color w:val="333333"/>
          <w:sz w:val="25"/>
          <w:szCs w:val="25"/>
        </w:rPr>
        <w:br/>
        <w:t>от 13 марта 2012 г. № 297</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Национальный план противодействия коррупции на 2012 - 2013 годы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c"/>
        <w:shd w:val="clear" w:color="auto" w:fill="FFFFFF"/>
        <w:spacing w:before="82" w:beforeAutospacing="0" w:after="82" w:afterAutospacing="0"/>
        <w:ind w:left="611" w:right="611"/>
        <w:jc w:val="center"/>
        <w:rPr>
          <w:color w:val="333333"/>
          <w:sz w:val="25"/>
          <w:szCs w:val="25"/>
        </w:rPr>
      </w:pPr>
      <w:r>
        <w:rPr>
          <w:rStyle w:val="mark"/>
          <w:i/>
          <w:iCs/>
          <w:color w:val="1111EE"/>
          <w:sz w:val="25"/>
          <w:szCs w:val="25"/>
        </w:rPr>
        <w:t>(В редакции Указа Президента Российской Федерации</w:t>
      </w:r>
      <w:r>
        <w:rPr>
          <w:i/>
          <w:iCs/>
          <w:color w:val="1111EE"/>
          <w:sz w:val="25"/>
          <w:szCs w:val="25"/>
        </w:rPr>
        <w:br/>
      </w:r>
      <w:r>
        <w:rPr>
          <w:rStyle w:val="mark"/>
          <w:i/>
          <w:iCs/>
          <w:color w:val="1111EE"/>
          <w:sz w:val="25"/>
          <w:szCs w:val="25"/>
        </w:rPr>
        <w:t> </w:t>
      </w:r>
      <w:hyperlink r:id="rId20" w:tgtFrame="contents" w:history="1">
        <w:r>
          <w:rPr>
            <w:rStyle w:val="a9"/>
            <w:color w:val="1C1CD6"/>
            <w:sz w:val="25"/>
            <w:szCs w:val="25"/>
          </w:rPr>
          <w:t>от 19.03.2013 № 211</w:t>
        </w:r>
      </w:hyperlink>
      <w:r>
        <w:rPr>
          <w:rStyle w:val="mark"/>
          <w:i/>
          <w:iCs/>
          <w:color w:val="1111EE"/>
          <w:sz w:val="25"/>
          <w:szCs w:val="25"/>
        </w:rPr>
        <w:t>)</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целях организации исполнения Федерального закона </w:t>
      </w:r>
      <w:hyperlink r:id="rId21" w:tgtFrame="contents" w:history="1">
        <w:r>
          <w:rPr>
            <w:rStyle w:val="cmd"/>
            <w:color w:val="1111EE"/>
            <w:sz w:val="25"/>
            <w:szCs w:val="25"/>
            <w:u w:val="single"/>
          </w:rPr>
          <w:t>от 25 декабря 2008 г. № 273-ФЗ</w:t>
        </w:r>
      </w:hyperlink>
      <w:r>
        <w:rPr>
          <w:color w:val="333333"/>
          <w:sz w:val="25"/>
          <w:szCs w:val="25"/>
        </w:rPr>
        <w:t> "О противодействии коррупции" и реализации Национальной стратегии противодействия коррупции, утвержденной Указом Президента Российской Федерации </w:t>
      </w:r>
      <w:hyperlink r:id="rId22" w:tgtFrame="contents" w:history="1">
        <w:r>
          <w:rPr>
            <w:rStyle w:val="cmd"/>
            <w:color w:val="1111EE"/>
            <w:sz w:val="25"/>
            <w:szCs w:val="25"/>
            <w:u w:val="single"/>
          </w:rPr>
          <w:t>от 13 апреля 2010 г. № 460</w:t>
        </w:r>
      </w:hyperlink>
      <w:r>
        <w:rPr>
          <w:color w:val="333333"/>
          <w:sz w:val="25"/>
          <w:szCs w:val="25"/>
        </w:rPr>
        <w:t> "О Национальной стратегии противодействия коррупции и Национальном плане противодействия коррупции на 2010 - 2011 годы":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обеспечить контроль за реализацией федеральной целевой программы "Развитие судебной системы России" на 2007 - 2012 годы, утвержденной постановлением Правительства Российской Федерации </w:t>
      </w:r>
      <w:hyperlink r:id="rId23" w:tgtFrame="contents" w:history="1">
        <w:r>
          <w:rPr>
            <w:rStyle w:val="cmd"/>
            <w:color w:val="1111EE"/>
            <w:sz w:val="25"/>
            <w:szCs w:val="25"/>
            <w:u w:val="single"/>
          </w:rPr>
          <w:t>от 21 сентября 2006 г. № 583</w:t>
        </w:r>
      </w:hyperlink>
      <w:r>
        <w:rPr>
          <w:color w:val="333333"/>
          <w:sz w:val="25"/>
          <w:szCs w:val="25"/>
        </w:rPr>
        <w:t>;</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обеспечить: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подготовку методических рекомендаций по вопросам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2. Правительству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продолжить работу:</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 внедрению в практику федеральной контрактной системы в сфере закупок для государственных и муниципальных нужд;</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 снижению экономической заинтересованности в совершении коррупционных правонарушений;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б) организовать подготовку к проведению в Российской Федерации в 2015 году шестой Конференции государств - участников Конвенции ООН против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ж) обеспечить дальнейшее финансирование:</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мероприятий по созданию и использованию инновационных технологий, повышающих объективность и обеспечивающих прозрачность при принятии </w:t>
      </w:r>
      <w:r>
        <w:rPr>
          <w:color w:val="333333"/>
          <w:sz w:val="25"/>
          <w:szCs w:val="25"/>
        </w:rPr>
        <w:lastRenderedPageBreak/>
        <w:t>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з) обеспечить: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организацию и проведение ротации государственных гражданских служащих в соответствии с Федеральным законом </w:t>
      </w:r>
      <w:hyperlink r:id="rId24" w:tgtFrame="contents" w:history="1">
        <w:r>
          <w:rPr>
            <w:rStyle w:val="cmd"/>
            <w:color w:val="1111EE"/>
            <w:sz w:val="25"/>
            <w:szCs w:val="25"/>
            <w:u w:val="single"/>
          </w:rPr>
          <w:t>от 6 декабря 2011 г. № 395-ФЗ</w:t>
        </w:r>
      </w:hyperlink>
      <w:r>
        <w:rPr>
          <w:color w:val="333333"/>
          <w:sz w:val="25"/>
          <w:szCs w:val="25"/>
        </w:rPr>
        <w:t>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финансирование мероприятий, указанных в настоящем подпункте;</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и) организовать: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совершенствовании организационных основ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Конвенции Совета Европы о гражданско-правовой ответственности за коррупцию от 4 ноября 1999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и Конвенции ООН против коррупции от 31 октября 2003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ходе реализации мероприятий по противодействию коррупции в г. Москве и принимаемых мерах по совершенствованию антикоррупционной работы;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об организации противодействия коррупции в государственных учреждениях и негосударственной сфере;</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организовать: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подготовку проектов актов Президента Российской Федерации и Администрации Президента Российской Федерации, направленных на исполнение Федерального закона </w:t>
      </w:r>
      <w:hyperlink r:id="rId25" w:tgtFrame="contents" w:history="1">
        <w:r>
          <w:rPr>
            <w:rStyle w:val="cmd"/>
            <w:color w:val="1111EE"/>
            <w:sz w:val="25"/>
            <w:szCs w:val="25"/>
            <w:u w:val="single"/>
          </w:rPr>
          <w:t>от 21 ноября 2011 г. № 329-ФЗ</w:t>
        </w:r>
      </w:hyperlink>
      <w:r>
        <w:rPr>
          <w:color w:val="333333"/>
          <w:sz w:val="25"/>
          <w:szCs w:val="25"/>
        </w:rPr>
        <w:t>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обеспечить: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распоряжением Президента Российской Федерации </w:t>
      </w:r>
      <w:hyperlink r:id="rId26" w:tgtFrame="contents" w:history="1">
        <w:r>
          <w:rPr>
            <w:rStyle w:val="cmd"/>
            <w:color w:val="1111EE"/>
            <w:sz w:val="25"/>
            <w:szCs w:val="25"/>
            <w:u w:val="single"/>
          </w:rPr>
          <w:t>от 26 июня 2007 г. № 343-рп</w:t>
        </w:r>
      </w:hyperlink>
      <w:r>
        <w:rPr>
          <w:color w:val="333333"/>
          <w:sz w:val="25"/>
          <w:szCs w:val="25"/>
        </w:rPr>
        <w:t>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развитие сотрудничества с Международной антикоррупционной академией;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обеспечить: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подпункте "в"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5. Федеральным органам исполнительной власти, иным государственным органам:</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w:t>
      </w:r>
      <w:r>
        <w:rPr>
          <w:color w:val="333333"/>
          <w:sz w:val="25"/>
          <w:szCs w:val="25"/>
        </w:rPr>
        <w:lastRenderedPageBreak/>
        <w:t>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обеспечить в необходимых случаях участие специалистов в международных антикоррупционных мероприятиях;</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6. Генеральному прокурору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при ежегодном представлении в соответствии со статьей 12 Федерального закона </w:t>
      </w:r>
      <w:hyperlink r:id="rId27" w:tgtFrame="contents" w:history="1">
        <w:r>
          <w:rPr>
            <w:rStyle w:val="cmd"/>
            <w:color w:val="1111EE"/>
            <w:sz w:val="25"/>
            <w:szCs w:val="25"/>
            <w:u w:val="single"/>
          </w:rPr>
          <w:t>"О прокуратуре Российской Федерации"</w:t>
        </w:r>
      </w:hyperlink>
      <w:r>
        <w:rPr>
          <w:color w:val="333333"/>
          <w:sz w:val="25"/>
          <w:szCs w:val="25"/>
        </w:rPr>
        <w:t>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7. Генеральному прокурору Российской Федерации и подчиненным ему прокурорам:</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8. Генеральной прокуратуре Российской Федерации совместно с заинтересованными федеральными государственными органами: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обеспечить:</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эффективное участие Российской Федерации в механизме обзора выполнения Конвенции ООН против коррупции от 31 октября 2003 г. и в деятельности Группы государств против коррупции (ГРЕКО);</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прохождение Российской Федерацией обзора осуществления ею Конвенции ООН против коррупции и плановых мониторинговых процедур в рамках ГРЕКО;</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о ходе выполнения подпункта "в"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11. Министерству внутренних дел Российской Федерации совместно с заинтересованными федеральными государственными органами: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организовать работу по прохождению Российской Федерацией мониторинга осуществления ею Конвенции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провести самооценку осуществления Российской Федерацией Конвенции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12. </w:t>
      </w:r>
      <w:r>
        <w:rPr>
          <w:rStyle w:val="edx"/>
          <w:color w:val="1111EE"/>
          <w:sz w:val="25"/>
          <w:szCs w:val="25"/>
          <w:shd w:val="clear" w:color="auto" w:fill="F0F0F0"/>
        </w:rPr>
        <w:t>Министерству труда и социальной защиты Российской Федерации</w:t>
      </w:r>
      <w:r>
        <w:rPr>
          <w:color w:val="333333"/>
          <w:sz w:val="25"/>
          <w:szCs w:val="25"/>
        </w:rPr>
        <w:t>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r>
        <w:rPr>
          <w:rStyle w:val="mark"/>
          <w:i/>
          <w:iCs/>
          <w:color w:val="1111EE"/>
          <w:sz w:val="25"/>
          <w:szCs w:val="25"/>
        </w:rPr>
        <w:t> </w:t>
      </w:r>
      <w:r>
        <w:rPr>
          <w:rStyle w:val="edx"/>
          <w:i/>
          <w:iCs/>
          <w:color w:val="1111EE"/>
          <w:sz w:val="25"/>
          <w:szCs w:val="25"/>
          <w:shd w:val="clear" w:color="auto" w:fill="F0F0F0"/>
        </w:rPr>
        <w:t>(В редакции Указа Президента Российской Федерации </w:t>
      </w:r>
      <w:hyperlink r:id="rId28" w:tgtFrame="contents" w:history="1">
        <w:r>
          <w:rPr>
            <w:rStyle w:val="a9"/>
            <w:color w:val="1C1CD6"/>
            <w:sz w:val="25"/>
            <w:szCs w:val="25"/>
            <w:shd w:val="clear" w:color="auto" w:fill="F0F0F0"/>
          </w:rPr>
          <w:t>от 19.03.2013 № 211</w:t>
        </w:r>
      </w:hyperlink>
      <w:r>
        <w:rPr>
          <w:rStyle w:val="edx"/>
          <w:i/>
          <w:iCs/>
          <w:color w:val="1111EE"/>
          <w:sz w:val="25"/>
          <w:szCs w:val="25"/>
          <w:shd w:val="clear" w:color="auto" w:fill="F0F0F0"/>
        </w:rPr>
        <w:t>)</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13. Министерству иностранных дел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w:t>
      </w:r>
      <w:hyperlink r:id="rId29" w:tgtFrame="contents" w:history="1">
        <w:r>
          <w:rPr>
            <w:rStyle w:val="cmd"/>
            <w:color w:val="1111EE"/>
            <w:sz w:val="25"/>
            <w:szCs w:val="25"/>
            <w:u w:val="single"/>
          </w:rPr>
          <w:t>от 25 декабря 2008 г. № 273-ФЗ</w:t>
        </w:r>
      </w:hyperlink>
      <w:r>
        <w:rPr>
          <w:color w:val="333333"/>
          <w:sz w:val="25"/>
          <w:szCs w:val="25"/>
        </w:rPr>
        <w:t>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о результатах выполнения подпунктов "а" и "в"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15. Министерству экономического развития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е) о результатах выполнения подпунктов "г" и "д"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16. Министерству юстиции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 результатах выполнения подпункта "б"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18. Органам государственной власти субъектов Российской Федерации: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w:t>
      </w:r>
      <w:r>
        <w:rPr>
          <w:color w:val="333333"/>
          <w:sz w:val="25"/>
          <w:szCs w:val="25"/>
        </w:rPr>
        <w:lastRenderedPageBreak/>
        <w:t>от 27 января 1999 г., Конвенции ООН против транснациональной организованной преступности от 15 ноября 2000 г. и дополняющих ее протоколов, Конвенции ООН против коррупции от 31 октября 2003 г. и других международных обязательств Российской Федерации в области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принять меры по повышению эффективности участия:</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представителей федеральных органов исполнительной власти, иных государственных органов в международных антикоррупционных мероприятиях;</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в) о результатах выполнения подпунктов "а" и "б"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092E74" w:rsidRDefault="00092E74" w:rsidP="00092E74">
      <w:pPr>
        <w:pStyle w:val="c"/>
        <w:shd w:val="clear" w:color="auto" w:fill="FFFFFF"/>
        <w:spacing w:before="82" w:beforeAutospacing="0" w:after="82" w:afterAutospacing="0"/>
        <w:ind w:left="611" w:right="611"/>
        <w:jc w:val="center"/>
        <w:rPr>
          <w:color w:val="333333"/>
          <w:sz w:val="25"/>
          <w:szCs w:val="25"/>
        </w:rPr>
      </w:pPr>
      <w:r>
        <w:rPr>
          <w:color w:val="333333"/>
          <w:sz w:val="25"/>
          <w:szCs w:val="25"/>
        </w:rPr>
        <w:t>___________</w:t>
      </w:r>
    </w:p>
    <w:p w:rsidR="00BA4252" w:rsidRPr="000C24D2" w:rsidRDefault="00BA4252" w:rsidP="000C24D2">
      <w:pPr>
        <w:rPr>
          <w:szCs w:val="20"/>
        </w:rPr>
      </w:pPr>
    </w:p>
    <w:sectPr w:rsidR="00BA4252" w:rsidRPr="000C24D2" w:rsidSect="00300B92">
      <w:headerReference w:type="default" r:id="rId30"/>
      <w:pgSz w:w="11906" w:h="16838"/>
      <w:pgMar w:top="568"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D05" w:rsidRDefault="00227D05" w:rsidP="00CC7790">
      <w:r>
        <w:separator/>
      </w:r>
    </w:p>
  </w:endnote>
  <w:endnote w:type="continuationSeparator" w:id="1">
    <w:p w:rsidR="00227D05" w:rsidRDefault="00227D05" w:rsidP="00CC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D05" w:rsidRDefault="00227D05" w:rsidP="00CC7790">
      <w:r>
        <w:separator/>
      </w:r>
    </w:p>
  </w:footnote>
  <w:footnote w:type="continuationSeparator" w:id="1">
    <w:p w:rsidR="00227D05" w:rsidRDefault="00227D05" w:rsidP="00CC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8" w:rsidRDefault="00B00F28">
    <w:pPr>
      <w:pStyle w:val="a3"/>
      <w:jc w:val="center"/>
    </w:pPr>
  </w:p>
  <w:p w:rsidR="00CC7790" w:rsidRDefault="00CC77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CD7"/>
    <w:multiLevelType w:val="hybridMultilevel"/>
    <w:tmpl w:val="0A748954"/>
    <w:lvl w:ilvl="0" w:tplc="E6F8685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D2E56"/>
    <w:multiLevelType w:val="hybridMultilevel"/>
    <w:tmpl w:val="A4980784"/>
    <w:lvl w:ilvl="0" w:tplc="0419000F">
      <w:start w:val="1"/>
      <w:numFmt w:val="decimal"/>
      <w:lvlText w:val="%1."/>
      <w:lvlJc w:val="left"/>
      <w:pPr>
        <w:tabs>
          <w:tab w:val="num" w:pos="696"/>
        </w:tabs>
        <w:ind w:left="696" w:hanging="360"/>
      </w:p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abstractNum w:abstractNumId="2">
    <w:nsid w:val="0C3C03D4"/>
    <w:multiLevelType w:val="hybridMultilevel"/>
    <w:tmpl w:val="959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758AD"/>
    <w:multiLevelType w:val="hybridMultilevel"/>
    <w:tmpl w:val="435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F6496"/>
    <w:multiLevelType w:val="hybridMultilevel"/>
    <w:tmpl w:val="6EB8E06E"/>
    <w:lvl w:ilvl="0" w:tplc="AF82B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33BE"/>
    <w:rsid w:val="00003508"/>
    <w:rsid w:val="00003668"/>
    <w:rsid w:val="000125E7"/>
    <w:rsid w:val="00012768"/>
    <w:rsid w:val="00013169"/>
    <w:rsid w:val="0002079E"/>
    <w:rsid w:val="00025FC5"/>
    <w:rsid w:val="00027194"/>
    <w:rsid w:val="000273A5"/>
    <w:rsid w:val="000325FC"/>
    <w:rsid w:val="00041865"/>
    <w:rsid w:val="000544EB"/>
    <w:rsid w:val="00057723"/>
    <w:rsid w:val="00062C57"/>
    <w:rsid w:val="00062CC8"/>
    <w:rsid w:val="00073636"/>
    <w:rsid w:val="00076AFD"/>
    <w:rsid w:val="00087B44"/>
    <w:rsid w:val="0009239D"/>
    <w:rsid w:val="00092AD9"/>
    <w:rsid w:val="00092E74"/>
    <w:rsid w:val="000A0907"/>
    <w:rsid w:val="000A19A2"/>
    <w:rsid w:val="000B2253"/>
    <w:rsid w:val="000B76C1"/>
    <w:rsid w:val="000C24D2"/>
    <w:rsid w:val="000C2A7C"/>
    <w:rsid w:val="000C2BEB"/>
    <w:rsid w:val="000C3FFE"/>
    <w:rsid w:val="000D4FA9"/>
    <w:rsid w:val="000D7706"/>
    <w:rsid w:val="000E07B3"/>
    <w:rsid w:val="000E1E19"/>
    <w:rsid w:val="000E510C"/>
    <w:rsid w:val="000F2382"/>
    <w:rsid w:val="000F303F"/>
    <w:rsid w:val="000F4D0C"/>
    <w:rsid w:val="000F4D23"/>
    <w:rsid w:val="000F517D"/>
    <w:rsid w:val="001044DC"/>
    <w:rsid w:val="00106405"/>
    <w:rsid w:val="00114ED3"/>
    <w:rsid w:val="00122863"/>
    <w:rsid w:val="00127463"/>
    <w:rsid w:val="00140995"/>
    <w:rsid w:val="001555AC"/>
    <w:rsid w:val="00167C87"/>
    <w:rsid w:val="001724CA"/>
    <w:rsid w:val="00175D6E"/>
    <w:rsid w:val="001807E1"/>
    <w:rsid w:val="001819E6"/>
    <w:rsid w:val="00184B90"/>
    <w:rsid w:val="001B7A24"/>
    <w:rsid w:val="001B7AF5"/>
    <w:rsid w:val="001C05BD"/>
    <w:rsid w:val="001C4C40"/>
    <w:rsid w:val="001D1DC5"/>
    <w:rsid w:val="001E00A1"/>
    <w:rsid w:val="001E0F07"/>
    <w:rsid w:val="001E1985"/>
    <w:rsid w:val="001E386C"/>
    <w:rsid w:val="001F0573"/>
    <w:rsid w:val="001F48E8"/>
    <w:rsid w:val="002064E2"/>
    <w:rsid w:val="00227D05"/>
    <w:rsid w:val="00231373"/>
    <w:rsid w:val="00243C15"/>
    <w:rsid w:val="0025176B"/>
    <w:rsid w:val="00252ABE"/>
    <w:rsid w:val="00253A86"/>
    <w:rsid w:val="0026290C"/>
    <w:rsid w:val="002835AA"/>
    <w:rsid w:val="002874BB"/>
    <w:rsid w:val="002979DF"/>
    <w:rsid w:val="002A218B"/>
    <w:rsid w:val="002B2324"/>
    <w:rsid w:val="002D7B72"/>
    <w:rsid w:val="002F0E52"/>
    <w:rsid w:val="00300B92"/>
    <w:rsid w:val="00303CD4"/>
    <w:rsid w:val="00306600"/>
    <w:rsid w:val="00314C3E"/>
    <w:rsid w:val="0032580D"/>
    <w:rsid w:val="00342CC5"/>
    <w:rsid w:val="003430A2"/>
    <w:rsid w:val="003470F3"/>
    <w:rsid w:val="00347449"/>
    <w:rsid w:val="0035152E"/>
    <w:rsid w:val="0036194C"/>
    <w:rsid w:val="003678C5"/>
    <w:rsid w:val="00375529"/>
    <w:rsid w:val="0037735F"/>
    <w:rsid w:val="00386782"/>
    <w:rsid w:val="00390BE1"/>
    <w:rsid w:val="00397B02"/>
    <w:rsid w:val="003C0A7C"/>
    <w:rsid w:val="003C3CD0"/>
    <w:rsid w:val="003D18EE"/>
    <w:rsid w:val="003E2F55"/>
    <w:rsid w:val="003E3950"/>
    <w:rsid w:val="003E5DAE"/>
    <w:rsid w:val="003E690F"/>
    <w:rsid w:val="003F4516"/>
    <w:rsid w:val="004028F6"/>
    <w:rsid w:val="00402A1D"/>
    <w:rsid w:val="00402AE2"/>
    <w:rsid w:val="004045C7"/>
    <w:rsid w:val="00420A67"/>
    <w:rsid w:val="00421C91"/>
    <w:rsid w:val="00426013"/>
    <w:rsid w:val="004272E2"/>
    <w:rsid w:val="004412B3"/>
    <w:rsid w:val="00443E6B"/>
    <w:rsid w:val="0046478F"/>
    <w:rsid w:val="00466B08"/>
    <w:rsid w:val="00494CC0"/>
    <w:rsid w:val="00497E30"/>
    <w:rsid w:val="004A13FB"/>
    <w:rsid w:val="004B7F2A"/>
    <w:rsid w:val="004C375B"/>
    <w:rsid w:val="004C6AD4"/>
    <w:rsid w:val="004D253A"/>
    <w:rsid w:val="004D2669"/>
    <w:rsid w:val="004E2544"/>
    <w:rsid w:val="004F3EB1"/>
    <w:rsid w:val="00511EFD"/>
    <w:rsid w:val="00514E21"/>
    <w:rsid w:val="00524BC5"/>
    <w:rsid w:val="00526D48"/>
    <w:rsid w:val="005352CD"/>
    <w:rsid w:val="005379D3"/>
    <w:rsid w:val="005405AE"/>
    <w:rsid w:val="00547F2A"/>
    <w:rsid w:val="005541A9"/>
    <w:rsid w:val="005546C7"/>
    <w:rsid w:val="00555DCB"/>
    <w:rsid w:val="0055709A"/>
    <w:rsid w:val="00557720"/>
    <w:rsid w:val="00561AC3"/>
    <w:rsid w:val="00562D6E"/>
    <w:rsid w:val="005637C8"/>
    <w:rsid w:val="00563C42"/>
    <w:rsid w:val="0056518A"/>
    <w:rsid w:val="00565476"/>
    <w:rsid w:val="005762A7"/>
    <w:rsid w:val="005777F7"/>
    <w:rsid w:val="00583DF1"/>
    <w:rsid w:val="0058741C"/>
    <w:rsid w:val="005901AB"/>
    <w:rsid w:val="005A05FA"/>
    <w:rsid w:val="005A158C"/>
    <w:rsid w:val="005A6265"/>
    <w:rsid w:val="005D0A28"/>
    <w:rsid w:val="005E5A52"/>
    <w:rsid w:val="005E6471"/>
    <w:rsid w:val="005F062C"/>
    <w:rsid w:val="006010F2"/>
    <w:rsid w:val="006069C3"/>
    <w:rsid w:val="00616026"/>
    <w:rsid w:val="00621A10"/>
    <w:rsid w:val="006254DE"/>
    <w:rsid w:val="006313DC"/>
    <w:rsid w:val="006320F2"/>
    <w:rsid w:val="00634225"/>
    <w:rsid w:val="00635B03"/>
    <w:rsid w:val="00640C70"/>
    <w:rsid w:val="00641FDE"/>
    <w:rsid w:val="00656022"/>
    <w:rsid w:val="00665E3D"/>
    <w:rsid w:val="0066680E"/>
    <w:rsid w:val="0067672E"/>
    <w:rsid w:val="006811A5"/>
    <w:rsid w:val="006838CC"/>
    <w:rsid w:val="00686218"/>
    <w:rsid w:val="006A385C"/>
    <w:rsid w:val="006B2EC1"/>
    <w:rsid w:val="006B6B3A"/>
    <w:rsid w:val="006D08AB"/>
    <w:rsid w:val="006E132A"/>
    <w:rsid w:val="006E1F43"/>
    <w:rsid w:val="006F558F"/>
    <w:rsid w:val="00707471"/>
    <w:rsid w:val="00722B34"/>
    <w:rsid w:val="007365DB"/>
    <w:rsid w:val="00740134"/>
    <w:rsid w:val="007409D4"/>
    <w:rsid w:val="007448DE"/>
    <w:rsid w:val="007448E2"/>
    <w:rsid w:val="007452D3"/>
    <w:rsid w:val="00752F8F"/>
    <w:rsid w:val="00753122"/>
    <w:rsid w:val="007579AA"/>
    <w:rsid w:val="007579E0"/>
    <w:rsid w:val="00757CA1"/>
    <w:rsid w:val="00766083"/>
    <w:rsid w:val="00784ECB"/>
    <w:rsid w:val="00786095"/>
    <w:rsid w:val="00787FFB"/>
    <w:rsid w:val="007A5C0A"/>
    <w:rsid w:val="007A6774"/>
    <w:rsid w:val="007C1C30"/>
    <w:rsid w:val="007D6D11"/>
    <w:rsid w:val="007E21A1"/>
    <w:rsid w:val="007E6218"/>
    <w:rsid w:val="007F647A"/>
    <w:rsid w:val="00800138"/>
    <w:rsid w:val="00806538"/>
    <w:rsid w:val="008176FC"/>
    <w:rsid w:val="0083517C"/>
    <w:rsid w:val="00836499"/>
    <w:rsid w:val="00850F5D"/>
    <w:rsid w:val="00851521"/>
    <w:rsid w:val="00860CCB"/>
    <w:rsid w:val="008643E9"/>
    <w:rsid w:val="00867E9F"/>
    <w:rsid w:val="0087338D"/>
    <w:rsid w:val="0087635E"/>
    <w:rsid w:val="008920DB"/>
    <w:rsid w:val="008924C3"/>
    <w:rsid w:val="00895027"/>
    <w:rsid w:val="0089562D"/>
    <w:rsid w:val="008A09F7"/>
    <w:rsid w:val="008C3EDF"/>
    <w:rsid w:val="008E2605"/>
    <w:rsid w:val="00902977"/>
    <w:rsid w:val="009054BA"/>
    <w:rsid w:val="00906016"/>
    <w:rsid w:val="00910297"/>
    <w:rsid w:val="00910AA7"/>
    <w:rsid w:val="009110B8"/>
    <w:rsid w:val="0091158B"/>
    <w:rsid w:val="00911782"/>
    <w:rsid w:val="00913EED"/>
    <w:rsid w:val="00920F49"/>
    <w:rsid w:val="009216CD"/>
    <w:rsid w:val="00925073"/>
    <w:rsid w:val="00930A43"/>
    <w:rsid w:val="00931DBD"/>
    <w:rsid w:val="009369F5"/>
    <w:rsid w:val="00940CA7"/>
    <w:rsid w:val="00945290"/>
    <w:rsid w:val="00956888"/>
    <w:rsid w:val="00964408"/>
    <w:rsid w:val="00965FA3"/>
    <w:rsid w:val="00966A49"/>
    <w:rsid w:val="009877B1"/>
    <w:rsid w:val="00990213"/>
    <w:rsid w:val="009910D7"/>
    <w:rsid w:val="009A26E0"/>
    <w:rsid w:val="009A7A33"/>
    <w:rsid w:val="009B2798"/>
    <w:rsid w:val="009B359E"/>
    <w:rsid w:val="009B7A8D"/>
    <w:rsid w:val="009C2B90"/>
    <w:rsid w:val="009C7167"/>
    <w:rsid w:val="009E52FA"/>
    <w:rsid w:val="009E628A"/>
    <w:rsid w:val="009F2D7A"/>
    <w:rsid w:val="00A144F5"/>
    <w:rsid w:val="00A370E5"/>
    <w:rsid w:val="00A403AC"/>
    <w:rsid w:val="00A45028"/>
    <w:rsid w:val="00A5423F"/>
    <w:rsid w:val="00A66DB2"/>
    <w:rsid w:val="00A75569"/>
    <w:rsid w:val="00A7563C"/>
    <w:rsid w:val="00A75F57"/>
    <w:rsid w:val="00A83489"/>
    <w:rsid w:val="00A8459D"/>
    <w:rsid w:val="00A9213E"/>
    <w:rsid w:val="00A9371E"/>
    <w:rsid w:val="00AB032F"/>
    <w:rsid w:val="00AB5618"/>
    <w:rsid w:val="00AC6427"/>
    <w:rsid w:val="00AC66CF"/>
    <w:rsid w:val="00AD0663"/>
    <w:rsid w:val="00AD2D6C"/>
    <w:rsid w:val="00AD45CB"/>
    <w:rsid w:val="00AE143D"/>
    <w:rsid w:val="00AE3197"/>
    <w:rsid w:val="00AF0793"/>
    <w:rsid w:val="00AF1E6C"/>
    <w:rsid w:val="00B00F28"/>
    <w:rsid w:val="00B03C73"/>
    <w:rsid w:val="00B117FA"/>
    <w:rsid w:val="00B167D2"/>
    <w:rsid w:val="00B22344"/>
    <w:rsid w:val="00B40199"/>
    <w:rsid w:val="00B41711"/>
    <w:rsid w:val="00B451E4"/>
    <w:rsid w:val="00B5054B"/>
    <w:rsid w:val="00B610D7"/>
    <w:rsid w:val="00B6416F"/>
    <w:rsid w:val="00B71D9F"/>
    <w:rsid w:val="00B732EA"/>
    <w:rsid w:val="00B74253"/>
    <w:rsid w:val="00B828B7"/>
    <w:rsid w:val="00B91600"/>
    <w:rsid w:val="00BA4252"/>
    <w:rsid w:val="00BA70AD"/>
    <w:rsid w:val="00BA719B"/>
    <w:rsid w:val="00BB647A"/>
    <w:rsid w:val="00BB7466"/>
    <w:rsid w:val="00BD6BA3"/>
    <w:rsid w:val="00BE39B1"/>
    <w:rsid w:val="00BE39B7"/>
    <w:rsid w:val="00BE49A8"/>
    <w:rsid w:val="00BE552D"/>
    <w:rsid w:val="00BE6D53"/>
    <w:rsid w:val="00BF33B6"/>
    <w:rsid w:val="00C069F6"/>
    <w:rsid w:val="00C16973"/>
    <w:rsid w:val="00C31E14"/>
    <w:rsid w:val="00C343B0"/>
    <w:rsid w:val="00C35926"/>
    <w:rsid w:val="00C4184F"/>
    <w:rsid w:val="00C42B3E"/>
    <w:rsid w:val="00C43876"/>
    <w:rsid w:val="00C50018"/>
    <w:rsid w:val="00C5157A"/>
    <w:rsid w:val="00C53C2C"/>
    <w:rsid w:val="00C61CF8"/>
    <w:rsid w:val="00C66B70"/>
    <w:rsid w:val="00C8211E"/>
    <w:rsid w:val="00C8334A"/>
    <w:rsid w:val="00C84C00"/>
    <w:rsid w:val="00C93944"/>
    <w:rsid w:val="00CA1EB0"/>
    <w:rsid w:val="00CA576E"/>
    <w:rsid w:val="00CB4B4B"/>
    <w:rsid w:val="00CC2FF0"/>
    <w:rsid w:val="00CC619F"/>
    <w:rsid w:val="00CC72E5"/>
    <w:rsid w:val="00CC7790"/>
    <w:rsid w:val="00CD5193"/>
    <w:rsid w:val="00CF2915"/>
    <w:rsid w:val="00CF33BE"/>
    <w:rsid w:val="00CF451A"/>
    <w:rsid w:val="00CF46A1"/>
    <w:rsid w:val="00CF695F"/>
    <w:rsid w:val="00D007A8"/>
    <w:rsid w:val="00D02504"/>
    <w:rsid w:val="00D05E2D"/>
    <w:rsid w:val="00D15FE9"/>
    <w:rsid w:val="00D305AF"/>
    <w:rsid w:val="00D33A66"/>
    <w:rsid w:val="00D4026A"/>
    <w:rsid w:val="00D6020C"/>
    <w:rsid w:val="00D604CB"/>
    <w:rsid w:val="00D72632"/>
    <w:rsid w:val="00D84F27"/>
    <w:rsid w:val="00D8644D"/>
    <w:rsid w:val="00DA2F6C"/>
    <w:rsid w:val="00DB49C0"/>
    <w:rsid w:val="00DD2C40"/>
    <w:rsid w:val="00DF211F"/>
    <w:rsid w:val="00DF654C"/>
    <w:rsid w:val="00E01D4C"/>
    <w:rsid w:val="00E11AEA"/>
    <w:rsid w:val="00E12F73"/>
    <w:rsid w:val="00E20D63"/>
    <w:rsid w:val="00E221E4"/>
    <w:rsid w:val="00E31778"/>
    <w:rsid w:val="00E37AF4"/>
    <w:rsid w:val="00E468EB"/>
    <w:rsid w:val="00E4708F"/>
    <w:rsid w:val="00E52C55"/>
    <w:rsid w:val="00E567D1"/>
    <w:rsid w:val="00E63142"/>
    <w:rsid w:val="00E74588"/>
    <w:rsid w:val="00E753A7"/>
    <w:rsid w:val="00E76850"/>
    <w:rsid w:val="00E8095A"/>
    <w:rsid w:val="00E87C71"/>
    <w:rsid w:val="00E91519"/>
    <w:rsid w:val="00EB1404"/>
    <w:rsid w:val="00EC5AF8"/>
    <w:rsid w:val="00EC6876"/>
    <w:rsid w:val="00ED0944"/>
    <w:rsid w:val="00ED46D1"/>
    <w:rsid w:val="00ED4D6C"/>
    <w:rsid w:val="00ED5AF4"/>
    <w:rsid w:val="00ED7B12"/>
    <w:rsid w:val="00EE2E82"/>
    <w:rsid w:val="00EE56D3"/>
    <w:rsid w:val="00EE66F4"/>
    <w:rsid w:val="00F04395"/>
    <w:rsid w:val="00F12BBC"/>
    <w:rsid w:val="00F15802"/>
    <w:rsid w:val="00F23E05"/>
    <w:rsid w:val="00F32DAA"/>
    <w:rsid w:val="00F43FB8"/>
    <w:rsid w:val="00F44417"/>
    <w:rsid w:val="00F508AE"/>
    <w:rsid w:val="00F50926"/>
    <w:rsid w:val="00F7666F"/>
    <w:rsid w:val="00F8435E"/>
    <w:rsid w:val="00F9004F"/>
    <w:rsid w:val="00F92DC7"/>
    <w:rsid w:val="00F9630F"/>
    <w:rsid w:val="00FA11A4"/>
    <w:rsid w:val="00FA20D1"/>
    <w:rsid w:val="00FA3136"/>
    <w:rsid w:val="00FB23E6"/>
    <w:rsid w:val="00FB39C0"/>
    <w:rsid w:val="00FB79F9"/>
    <w:rsid w:val="00FE2777"/>
    <w:rsid w:val="00FE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
    <w:name w:val="c"/>
    <w:basedOn w:val="a"/>
    <w:rsid w:val="00F44417"/>
    <w:pPr>
      <w:spacing w:before="100" w:beforeAutospacing="1" w:after="100" w:afterAutospacing="1"/>
    </w:pPr>
  </w:style>
  <w:style w:type="paragraph" w:styleId="ab">
    <w:name w:val="Normal (Web)"/>
    <w:basedOn w:val="a"/>
    <w:uiPriority w:val="99"/>
    <w:unhideWhenUsed/>
    <w:rsid w:val="00F44417"/>
    <w:pPr>
      <w:spacing w:before="100" w:beforeAutospacing="1" w:after="100" w:afterAutospacing="1"/>
    </w:pPr>
  </w:style>
  <w:style w:type="paragraph" w:customStyle="1" w:styleId="t">
    <w:name w:val="t"/>
    <w:basedOn w:val="a"/>
    <w:rsid w:val="00F44417"/>
    <w:pPr>
      <w:spacing w:before="100" w:beforeAutospacing="1" w:after="100" w:afterAutospacing="1"/>
    </w:pPr>
  </w:style>
  <w:style w:type="paragraph" w:customStyle="1" w:styleId="i">
    <w:name w:val="i"/>
    <w:basedOn w:val="a"/>
    <w:rsid w:val="00F44417"/>
    <w:pPr>
      <w:spacing w:before="100" w:beforeAutospacing="1" w:after="100" w:afterAutospacing="1"/>
    </w:pPr>
  </w:style>
  <w:style w:type="character" w:customStyle="1" w:styleId="markx">
    <w:name w:val="markx"/>
    <w:basedOn w:val="a0"/>
    <w:rsid w:val="00F44417"/>
  </w:style>
  <w:style w:type="character" w:customStyle="1" w:styleId="cmd">
    <w:name w:val="cmd"/>
    <w:basedOn w:val="a0"/>
    <w:rsid w:val="00F44417"/>
  </w:style>
  <w:style w:type="character" w:styleId="ac">
    <w:name w:val="FollowedHyperlink"/>
    <w:basedOn w:val="a0"/>
    <w:uiPriority w:val="99"/>
    <w:semiHidden/>
    <w:unhideWhenUsed/>
    <w:rsid w:val="00F44417"/>
    <w:rPr>
      <w:color w:val="800080"/>
      <w:u w:val="single"/>
    </w:rPr>
  </w:style>
  <w:style w:type="paragraph" w:customStyle="1" w:styleId="h">
    <w:name w:val="h"/>
    <w:basedOn w:val="a"/>
    <w:rsid w:val="00F44417"/>
    <w:pPr>
      <w:spacing w:before="100" w:beforeAutospacing="1" w:after="100" w:afterAutospacing="1"/>
    </w:pPr>
  </w:style>
  <w:style w:type="character" w:customStyle="1" w:styleId="mark">
    <w:name w:val="mark"/>
    <w:basedOn w:val="a0"/>
    <w:rsid w:val="00F44417"/>
  </w:style>
  <w:style w:type="character" w:customStyle="1" w:styleId="ed">
    <w:name w:val="ed"/>
    <w:basedOn w:val="a0"/>
    <w:rsid w:val="00F44417"/>
  </w:style>
  <w:style w:type="character" w:customStyle="1" w:styleId="w9">
    <w:name w:val="w9"/>
    <w:basedOn w:val="a0"/>
    <w:rsid w:val="00F44417"/>
  </w:style>
  <w:style w:type="character" w:customStyle="1" w:styleId="edx">
    <w:name w:val="edx"/>
    <w:basedOn w:val="a0"/>
    <w:rsid w:val="00F44417"/>
  </w:style>
  <w:style w:type="paragraph" w:styleId="ad">
    <w:name w:val="No Spacing"/>
    <w:uiPriority w:val="1"/>
    <w:qFormat/>
    <w:rsid w:val="001B7A24"/>
    <w:pPr>
      <w:spacing w:after="0" w:line="240" w:lineRule="auto"/>
    </w:pPr>
    <w:rPr>
      <w:rFonts w:ascii="Times New Roman" w:eastAsia="Times New Roman" w:hAnsi="Times New Roman"/>
      <w:sz w:val="24"/>
      <w:szCs w:val="24"/>
      <w:lang w:eastAsia="ru-RU"/>
    </w:rPr>
  </w:style>
  <w:style w:type="paragraph" w:customStyle="1" w:styleId="p">
    <w:name w:val="p"/>
    <w:basedOn w:val="a"/>
    <w:rsid w:val="001B7A24"/>
    <w:pPr>
      <w:spacing w:before="100" w:beforeAutospacing="1" w:after="100" w:afterAutospacing="1"/>
    </w:pPr>
  </w:style>
  <w:style w:type="paragraph" w:customStyle="1" w:styleId="s">
    <w:name w:val="s"/>
    <w:basedOn w:val="a"/>
    <w:rsid w:val="005762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s>
</file>

<file path=word/webSettings.xml><?xml version="1.0" encoding="utf-8"?>
<w:webSettings xmlns:r="http://schemas.openxmlformats.org/officeDocument/2006/relationships" xmlns:w="http://schemas.openxmlformats.org/wordprocessingml/2006/main">
  <w:divs>
    <w:div w:id="88894386">
      <w:bodyDiv w:val="1"/>
      <w:marLeft w:val="0"/>
      <w:marRight w:val="0"/>
      <w:marTop w:val="0"/>
      <w:marBottom w:val="0"/>
      <w:divBdr>
        <w:top w:val="none" w:sz="0" w:space="0" w:color="auto"/>
        <w:left w:val="none" w:sz="0" w:space="0" w:color="auto"/>
        <w:bottom w:val="none" w:sz="0" w:space="0" w:color="auto"/>
        <w:right w:val="none" w:sz="0" w:space="0" w:color="auto"/>
      </w:divBdr>
    </w:div>
    <w:div w:id="122699128">
      <w:bodyDiv w:val="1"/>
      <w:marLeft w:val="0"/>
      <w:marRight w:val="0"/>
      <w:marTop w:val="0"/>
      <w:marBottom w:val="0"/>
      <w:divBdr>
        <w:top w:val="none" w:sz="0" w:space="0" w:color="auto"/>
        <w:left w:val="none" w:sz="0" w:space="0" w:color="auto"/>
        <w:bottom w:val="none" w:sz="0" w:space="0" w:color="auto"/>
        <w:right w:val="none" w:sz="0" w:space="0" w:color="auto"/>
      </w:divBdr>
    </w:div>
    <w:div w:id="197159914">
      <w:bodyDiv w:val="1"/>
      <w:marLeft w:val="0"/>
      <w:marRight w:val="0"/>
      <w:marTop w:val="0"/>
      <w:marBottom w:val="0"/>
      <w:divBdr>
        <w:top w:val="none" w:sz="0" w:space="0" w:color="auto"/>
        <w:left w:val="none" w:sz="0" w:space="0" w:color="auto"/>
        <w:bottom w:val="none" w:sz="0" w:space="0" w:color="auto"/>
        <w:right w:val="none" w:sz="0" w:space="0" w:color="auto"/>
      </w:divBdr>
    </w:div>
    <w:div w:id="246889094">
      <w:bodyDiv w:val="1"/>
      <w:marLeft w:val="0"/>
      <w:marRight w:val="0"/>
      <w:marTop w:val="0"/>
      <w:marBottom w:val="0"/>
      <w:divBdr>
        <w:top w:val="none" w:sz="0" w:space="0" w:color="auto"/>
        <w:left w:val="none" w:sz="0" w:space="0" w:color="auto"/>
        <w:bottom w:val="none" w:sz="0" w:space="0" w:color="auto"/>
        <w:right w:val="none" w:sz="0" w:space="0" w:color="auto"/>
      </w:divBdr>
    </w:div>
    <w:div w:id="256207585">
      <w:bodyDiv w:val="1"/>
      <w:marLeft w:val="0"/>
      <w:marRight w:val="0"/>
      <w:marTop w:val="0"/>
      <w:marBottom w:val="0"/>
      <w:divBdr>
        <w:top w:val="none" w:sz="0" w:space="0" w:color="auto"/>
        <w:left w:val="none" w:sz="0" w:space="0" w:color="auto"/>
        <w:bottom w:val="none" w:sz="0" w:space="0" w:color="auto"/>
        <w:right w:val="none" w:sz="0" w:space="0" w:color="auto"/>
      </w:divBdr>
    </w:div>
    <w:div w:id="293289104">
      <w:bodyDiv w:val="1"/>
      <w:marLeft w:val="0"/>
      <w:marRight w:val="0"/>
      <w:marTop w:val="0"/>
      <w:marBottom w:val="0"/>
      <w:divBdr>
        <w:top w:val="none" w:sz="0" w:space="0" w:color="auto"/>
        <w:left w:val="none" w:sz="0" w:space="0" w:color="auto"/>
        <w:bottom w:val="none" w:sz="0" w:space="0" w:color="auto"/>
        <w:right w:val="none" w:sz="0" w:space="0" w:color="auto"/>
      </w:divBdr>
    </w:div>
    <w:div w:id="452558118">
      <w:bodyDiv w:val="1"/>
      <w:marLeft w:val="0"/>
      <w:marRight w:val="0"/>
      <w:marTop w:val="0"/>
      <w:marBottom w:val="0"/>
      <w:divBdr>
        <w:top w:val="none" w:sz="0" w:space="0" w:color="auto"/>
        <w:left w:val="none" w:sz="0" w:space="0" w:color="auto"/>
        <w:bottom w:val="none" w:sz="0" w:space="0" w:color="auto"/>
        <w:right w:val="none" w:sz="0" w:space="0" w:color="auto"/>
      </w:divBdr>
    </w:div>
    <w:div w:id="536048516">
      <w:bodyDiv w:val="1"/>
      <w:marLeft w:val="0"/>
      <w:marRight w:val="0"/>
      <w:marTop w:val="0"/>
      <w:marBottom w:val="0"/>
      <w:divBdr>
        <w:top w:val="none" w:sz="0" w:space="0" w:color="auto"/>
        <w:left w:val="none" w:sz="0" w:space="0" w:color="auto"/>
        <w:bottom w:val="none" w:sz="0" w:space="0" w:color="auto"/>
        <w:right w:val="none" w:sz="0" w:space="0" w:color="auto"/>
      </w:divBdr>
    </w:div>
    <w:div w:id="818689873">
      <w:bodyDiv w:val="1"/>
      <w:marLeft w:val="0"/>
      <w:marRight w:val="0"/>
      <w:marTop w:val="0"/>
      <w:marBottom w:val="0"/>
      <w:divBdr>
        <w:top w:val="none" w:sz="0" w:space="0" w:color="auto"/>
        <w:left w:val="none" w:sz="0" w:space="0" w:color="auto"/>
        <w:bottom w:val="none" w:sz="0" w:space="0" w:color="auto"/>
        <w:right w:val="none" w:sz="0" w:space="0" w:color="auto"/>
      </w:divBdr>
    </w:div>
    <w:div w:id="832456762">
      <w:bodyDiv w:val="1"/>
      <w:marLeft w:val="0"/>
      <w:marRight w:val="0"/>
      <w:marTop w:val="0"/>
      <w:marBottom w:val="0"/>
      <w:divBdr>
        <w:top w:val="none" w:sz="0" w:space="0" w:color="auto"/>
        <w:left w:val="none" w:sz="0" w:space="0" w:color="auto"/>
        <w:bottom w:val="none" w:sz="0" w:space="0" w:color="auto"/>
        <w:right w:val="none" w:sz="0" w:space="0" w:color="auto"/>
      </w:divBdr>
    </w:div>
    <w:div w:id="1058746902">
      <w:bodyDiv w:val="1"/>
      <w:marLeft w:val="0"/>
      <w:marRight w:val="0"/>
      <w:marTop w:val="0"/>
      <w:marBottom w:val="0"/>
      <w:divBdr>
        <w:top w:val="none" w:sz="0" w:space="0" w:color="auto"/>
        <w:left w:val="none" w:sz="0" w:space="0" w:color="auto"/>
        <w:bottom w:val="none" w:sz="0" w:space="0" w:color="auto"/>
        <w:right w:val="none" w:sz="0" w:space="0" w:color="auto"/>
      </w:divBdr>
    </w:div>
    <w:div w:id="1231697129">
      <w:bodyDiv w:val="1"/>
      <w:marLeft w:val="0"/>
      <w:marRight w:val="0"/>
      <w:marTop w:val="0"/>
      <w:marBottom w:val="0"/>
      <w:divBdr>
        <w:top w:val="none" w:sz="0" w:space="0" w:color="auto"/>
        <w:left w:val="none" w:sz="0" w:space="0" w:color="auto"/>
        <w:bottom w:val="none" w:sz="0" w:space="0" w:color="auto"/>
        <w:right w:val="none" w:sz="0" w:space="0" w:color="auto"/>
      </w:divBdr>
    </w:div>
    <w:div w:id="1521242616">
      <w:bodyDiv w:val="1"/>
      <w:marLeft w:val="0"/>
      <w:marRight w:val="0"/>
      <w:marTop w:val="0"/>
      <w:marBottom w:val="0"/>
      <w:divBdr>
        <w:top w:val="none" w:sz="0" w:space="0" w:color="auto"/>
        <w:left w:val="none" w:sz="0" w:space="0" w:color="auto"/>
        <w:bottom w:val="none" w:sz="0" w:space="0" w:color="auto"/>
        <w:right w:val="none" w:sz="0" w:space="0" w:color="auto"/>
      </w:divBdr>
    </w:div>
    <w:div w:id="1575627779">
      <w:bodyDiv w:val="1"/>
      <w:marLeft w:val="0"/>
      <w:marRight w:val="0"/>
      <w:marTop w:val="0"/>
      <w:marBottom w:val="0"/>
      <w:divBdr>
        <w:top w:val="none" w:sz="0" w:space="0" w:color="auto"/>
        <w:left w:val="none" w:sz="0" w:space="0" w:color="auto"/>
        <w:bottom w:val="none" w:sz="0" w:space="0" w:color="auto"/>
        <w:right w:val="none" w:sz="0" w:space="0" w:color="auto"/>
      </w:divBdr>
    </w:div>
    <w:div w:id="1664308467">
      <w:bodyDiv w:val="1"/>
      <w:marLeft w:val="0"/>
      <w:marRight w:val="0"/>
      <w:marTop w:val="0"/>
      <w:marBottom w:val="0"/>
      <w:divBdr>
        <w:top w:val="none" w:sz="0" w:space="0" w:color="auto"/>
        <w:left w:val="none" w:sz="0" w:space="0" w:color="auto"/>
        <w:bottom w:val="none" w:sz="0" w:space="0" w:color="auto"/>
        <w:right w:val="none" w:sz="0" w:space="0" w:color="auto"/>
      </w:divBdr>
    </w:div>
    <w:div w:id="1896041483">
      <w:bodyDiv w:val="1"/>
      <w:marLeft w:val="0"/>
      <w:marRight w:val="0"/>
      <w:marTop w:val="0"/>
      <w:marBottom w:val="0"/>
      <w:divBdr>
        <w:top w:val="none" w:sz="0" w:space="0" w:color="auto"/>
        <w:left w:val="none" w:sz="0" w:space="0" w:color="auto"/>
        <w:bottom w:val="none" w:sz="0" w:space="0" w:color="auto"/>
        <w:right w:val="none" w:sz="0" w:space="0" w:color="auto"/>
      </w:divBdr>
    </w:div>
    <w:div w:id="2028409280">
      <w:bodyDiv w:val="1"/>
      <w:marLeft w:val="0"/>
      <w:marRight w:val="0"/>
      <w:marTop w:val="0"/>
      <w:marBottom w:val="0"/>
      <w:divBdr>
        <w:top w:val="none" w:sz="0" w:space="0" w:color="auto"/>
        <w:left w:val="none" w:sz="0" w:space="0" w:color="auto"/>
        <w:bottom w:val="none" w:sz="0" w:space="0" w:color="auto"/>
        <w:right w:val="none" w:sz="0" w:space="0" w:color="auto"/>
      </w:divBdr>
    </w:div>
    <w:div w:id="2038652429">
      <w:bodyDiv w:val="1"/>
      <w:marLeft w:val="0"/>
      <w:marRight w:val="0"/>
      <w:marTop w:val="0"/>
      <w:marBottom w:val="0"/>
      <w:divBdr>
        <w:top w:val="none" w:sz="0" w:space="0" w:color="auto"/>
        <w:left w:val="none" w:sz="0" w:space="0" w:color="auto"/>
        <w:bottom w:val="none" w:sz="0" w:space="0" w:color="auto"/>
        <w:right w:val="none" w:sz="0" w:space="0" w:color="auto"/>
      </w:divBdr>
    </w:div>
    <w:div w:id="21123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54482&amp;backlink=1&amp;&amp;nd=102164018" TargetMode="External"/><Relationship Id="rId13" Type="http://schemas.openxmlformats.org/officeDocument/2006/relationships/hyperlink" Target="http://pravo.gov.ru/proxy/ips/?docbody=&amp;prevDoc=102154482&amp;backlink=1&amp;&amp;nd=102129668" TargetMode="External"/><Relationship Id="rId18" Type="http://schemas.openxmlformats.org/officeDocument/2006/relationships/hyperlink" Target="http://pravo.gov.ru/proxy/ips/?docbody=&amp;prevDoc=102154482&amp;backlink=1&amp;&amp;nd=102139510" TargetMode="External"/><Relationship Id="rId26" Type="http://schemas.openxmlformats.org/officeDocument/2006/relationships/hyperlink" Target="http://pravo.gov.ru/proxy/ips/?docbody=&amp;prevDoc=102154482&amp;backlink=1&amp;&amp;nd=102114956" TargetMode="External"/><Relationship Id="rId3" Type="http://schemas.openxmlformats.org/officeDocument/2006/relationships/styles" Target="styles.xml"/><Relationship Id="rId21" Type="http://schemas.openxmlformats.org/officeDocument/2006/relationships/hyperlink" Target="http://pravo.gov.ru/proxy/ips/?docbody=&amp;prevDoc=102154482&amp;backlink=1&amp;&amp;nd=102126657" TargetMode="External"/><Relationship Id="rId7" Type="http://schemas.openxmlformats.org/officeDocument/2006/relationships/endnotes" Target="endnotes.xml"/><Relationship Id="rId12" Type="http://schemas.openxmlformats.org/officeDocument/2006/relationships/hyperlink" Target="http://pravo.gov.ru/proxy/ips/?docbody=&amp;prevDoc=102154482&amp;backlink=1&amp;&amp;nd=102137438" TargetMode="External"/><Relationship Id="rId17" Type="http://schemas.openxmlformats.org/officeDocument/2006/relationships/hyperlink" Target="http://pravo.gov.ru/proxy/ips/?docbody=&amp;prevDoc=102154482&amp;backlink=1&amp;&amp;nd=102137438" TargetMode="External"/><Relationship Id="rId25" Type="http://schemas.openxmlformats.org/officeDocument/2006/relationships/hyperlink" Target="http://pravo.gov.ru/proxy/ips/?docbody=&amp;prevDoc=102154482&amp;backlink=1&amp;&amp;nd=102152260" TargetMode="External"/><Relationship Id="rId2" Type="http://schemas.openxmlformats.org/officeDocument/2006/relationships/numbering" Target="numbering.xml"/><Relationship Id="rId16" Type="http://schemas.openxmlformats.org/officeDocument/2006/relationships/hyperlink" Target="http://pravo.gov.ru/proxy/ips/?docbody=&amp;prevDoc=102154482&amp;backlink=1&amp;&amp;nd=102132592" TargetMode="External"/><Relationship Id="rId20" Type="http://schemas.openxmlformats.org/officeDocument/2006/relationships/hyperlink" Target="http://pravo.gov.ru/proxy/ips/?docbody=&amp;prevDoc=102154482&amp;backlink=1&amp;&amp;nd=102164018" TargetMode="External"/><Relationship Id="rId29" Type="http://schemas.openxmlformats.org/officeDocument/2006/relationships/hyperlink" Target="http://pravo.gov.ru/proxy/ips/?docbody=&amp;prevDoc=102154482&amp;backlink=1&amp;&amp;nd=102126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54482&amp;backlink=1&amp;&amp;nd=102137438" TargetMode="External"/><Relationship Id="rId24" Type="http://schemas.openxmlformats.org/officeDocument/2006/relationships/hyperlink" Target="http://pravo.gov.ru/proxy/ips/?docbody=&amp;prevDoc=102154482&amp;backlink=1&amp;&amp;nd=1021526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gov.ru/proxy/ips/?docbody=&amp;prevDoc=102154482&amp;backlink=1&amp;&amp;nd=102132591" TargetMode="External"/><Relationship Id="rId23" Type="http://schemas.openxmlformats.org/officeDocument/2006/relationships/hyperlink" Target="http://pravo.gov.ru/proxy/ips/?docbody=&amp;prevDoc=102154482&amp;backlink=1&amp;&amp;nd=102109093" TargetMode="External"/><Relationship Id="rId28" Type="http://schemas.openxmlformats.org/officeDocument/2006/relationships/hyperlink" Target="http://pravo.gov.ru/proxy/ips/?docbody=&amp;prevDoc=102154482&amp;backlink=1&amp;&amp;nd=102164018" TargetMode="External"/><Relationship Id="rId10" Type="http://schemas.openxmlformats.org/officeDocument/2006/relationships/hyperlink" Target="http://pravo.gov.ru/proxy/ips/?docbody=&amp;prevDoc=102154482&amp;backlink=1&amp;&amp;nd=102164018" TargetMode="External"/><Relationship Id="rId19" Type="http://schemas.openxmlformats.org/officeDocument/2006/relationships/hyperlink" Target="http://pravo.gov.ru/proxy/ips/?docbody=&amp;prevDoc=102154482&amp;backlink=1&amp;&amp;nd=10214474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gov.ru/proxy/ips/?docbody=&amp;prevDoc=102154482&amp;backlink=1&amp;&amp;nd=102126657" TargetMode="External"/><Relationship Id="rId14" Type="http://schemas.openxmlformats.org/officeDocument/2006/relationships/hyperlink" Target="http://pravo.gov.ru/proxy/ips/?docbody=&amp;prevDoc=102154482&amp;backlink=1&amp;&amp;nd=102129669" TargetMode="External"/><Relationship Id="rId22" Type="http://schemas.openxmlformats.org/officeDocument/2006/relationships/hyperlink" Target="http://pravo.gov.ru/proxy/ips/?docbody=&amp;prevDoc=102154482&amp;backlink=1&amp;&amp;nd=102137438" TargetMode="External"/><Relationship Id="rId27" Type="http://schemas.openxmlformats.org/officeDocument/2006/relationships/hyperlink" Target="http://pravo.gov.ru/proxy/ips/?docbody=&amp;prevDoc=102154482&amp;backlink=1&amp;&amp;nd=102014157" TargetMode="External"/><Relationship Id="rId30" Type="http://schemas.openxmlformats.org/officeDocument/2006/relationships/header" Target="header1.xml"/><Relationship Id="rId7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AE1A-1BF8-473A-A826-77199227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Луиза Сабировна</dc:creator>
  <cp:lastModifiedBy>никитино</cp:lastModifiedBy>
  <cp:revision>70</cp:revision>
  <cp:lastPrinted>2022-10-07T12:48:00Z</cp:lastPrinted>
  <dcterms:created xsi:type="dcterms:W3CDTF">2023-04-19T11:44:00Z</dcterms:created>
  <dcterms:modified xsi:type="dcterms:W3CDTF">2023-04-28T07:27:00Z</dcterms:modified>
</cp:coreProperties>
</file>